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9E1" w14:textId="77777777"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641C5CC4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2F1FB59A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86AC16" w14:textId="77777777"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14:paraId="3F84AB59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FAE49C6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14A70687" w14:textId="77777777" w:rsidR="00DA66BA" w:rsidRDefault="00DA66BA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2A6A4C" w14:textId="0F505AD3" w:rsidR="005310B6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E92F75" w:rsidRPr="00E92F75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250 </w:t>
      </w:r>
      <w:r w:rsidR="00E92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="00E92F75" w:rsidRPr="00E92F75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31.03.2025</w:t>
      </w:r>
    </w:p>
    <w:p w14:paraId="687ABBEA" w14:textId="77777777" w:rsidR="00E45667" w:rsidRPr="00DA66BA" w:rsidRDefault="00E45667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val="en-US" w:eastAsia="ru-RU"/>
        </w:rPr>
      </w:pPr>
    </w:p>
    <w:p w14:paraId="1DC1130E" w14:textId="6AF8DE72" w:rsidR="000B358A" w:rsidRPr="00BC0A0D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Арамильского городского округа «Повышение эффективности управления муниципальными финансами Арамильского городского округа 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до 202</w:t>
      </w:r>
      <w:r w:rsidR="00820EE1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14:paraId="1304BF7A" w14:textId="77777777" w:rsidR="000B358A" w:rsidRPr="00BC0A0D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14:paraId="3832786C" w14:textId="273948E1" w:rsidR="000B358A" w:rsidRPr="00BC0A0D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6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 w:rsidRPr="00BC0A0D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формирования и реализации Муниципальных программ Арамильского городского округа»</w:t>
      </w:r>
      <w:r w:rsidR="004E3D9E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</w:t>
      </w:r>
      <w:bookmarkStart w:id="0" w:name="_Hlk187928975"/>
      <w:r w:rsidR="004E3D9E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F865BA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Думы Арамильского городского округа </w:t>
      </w:r>
      <w:bookmarkEnd w:id="0"/>
      <w:r w:rsidR="00C6205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15.05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.2025 </w:t>
      </w:r>
      <w:r w:rsidR="00C6205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       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№ </w:t>
      </w:r>
      <w:r w:rsidR="00C6205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54/4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«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>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</w:t>
      </w:r>
    </w:p>
    <w:p w14:paraId="03429D8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A30DA7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634F9AE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7FF7967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14:paraId="5853622A" w14:textId="033F8EB4" w:rsid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14:paraId="11E9BB81" w14:textId="1F2D77BB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</w:t>
      </w:r>
      <w:r w:rsidR="00E37B9F">
        <w:rPr>
          <w:rFonts w:ascii="Liberation Serif" w:hAnsi="Liberation Serif" w:cs="Liberation Serif"/>
          <w:sz w:val="28"/>
          <w:szCs w:val="28"/>
        </w:rPr>
        <w:t>2</w:t>
      </w:r>
      <w:r w:rsidRPr="004E3D9E">
        <w:rPr>
          <w:rFonts w:ascii="Liberation Serif" w:hAnsi="Liberation Serif" w:cs="Liberation Serif"/>
          <w:sz w:val="28"/>
          <w:szCs w:val="28"/>
        </w:rPr>
        <w:t>).</w:t>
      </w:r>
    </w:p>
    <w:p w14:paraId="4ECAF9F6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2. Опубликовать настоящее постановление в газете «Арамильские вести». </w:t>
      </w:r>
    </w:p>
    <w:p w14:paraId="5BE431C0" w14:textId="740C4268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3. Настоящее постановление разместить на официальном сайте Арамильского городского округа.</w:t>
      </w:r>
    </w:p>
    <w:p w14:paraId="5C55755B" w14:textId="4CE5951A" w:rsid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1E95EF46" w14:textId="79090853" w:rsidR="00BC0A0D" w:rsidRDefault="00BC0A0D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6A914552" w14:textId="77777777" w:rsidR="00BC0A0D" w:rsidRPr="004E3D9E" w:rsidRDefault="00BC0A0D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4E3D9E" w:rsidRPr="004E3D9E" w14:paraId="17542524" w14:textId="77777777" w:rsidTr="004B3117">
        <w:trPr>
          <w:trHeight w:val="450"/>
        </w:trPr>
        <w:tc>
          <w:tcPr>
            <w:tcW w:w="6238" w:type="dxa"/>
            <w:shd w:val="clear" w:color="auto" w:fill="auto"/>
          </w:tcPr>
          <w:p w14:paraId="7703FA45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</w:t>
            </w:r>
          </w:p>
          <w:p w14:paraId="6EA52525" w14:textId="77777777"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14:paraId="508EF4DA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  М.С. Мишарина</w:t>
            </w:r>
          </w:p>
        </w:tc>
      </w:tr>
    </w:tbl>
    <w:p w14:paraId="122196AB" w14:textId="66E57166" w:rsidR="004E3D9E" w:rsidRPr="00A83BB9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P33"/>
      <w:bookmarkEnd w:id="1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</w:t>
      </w:r>
      <w:r w:rsidR="004E3D9E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14:paraId="2D9DE7A1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14:paraId="1DCBC63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14:paraId="2D80AED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14:paraId="3CC0F734" w14:textId="77777777"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14:paraId="51D85218" w14:textId="77777777"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2" w:name="P43"/>
      <w:bookmarkEnd w:id="2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14:paraId="72D23224" w14:textId="77777777"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04DA7D9A" w14:textId="77777777"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14:paraId="4D112D6C" w14:textId="77777777"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14:paraId="27087615" w14:textId="77777777"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14:paraId="0AA6C20C" w14:textId="77777777"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14:paraId="3A6F0599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 w14:paraId="01BD707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036A41C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B42A4BB" w14:textId="77777777"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14:paraId="26B67C9E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1D77557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 w14:paraId="5E96411A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B8F2664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DC0C2E4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07017947" w14:textId="77777777"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 w14:paraId="0C0C8E1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454C7802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21A4BE58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826F2BC" w14:textId="77777777"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14:paraId="193AFC0D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6E44BD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F3DB3F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D2E148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BD63404" w14:textId="77777777"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396677B" w14:textId="77777777"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 w14:paraId="4E1E5866" w14:textId="77777777">
        <w:tc>
          <w:tcPr>
            <w:tcW w:w="624" w:type="dxa"/>
            <w:tcBorders>
              <w:top w:val="nil"/>
              <w:bottom w:val="nil"/>
            </w:tcBorders>
          </w:tcPr>
          <w:p w14:paraId="58B2AE03" w14:textId="77777777"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9CA9DC0" w14:textId="77777777"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14:paraId="4D12C7D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14:paraId="6489249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C4DE2D6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304231A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0C383E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7A8C8A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126994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0D397EE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0785C7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предварительный финансовый контроль за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47FA38F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FB2817D" w14:textId="77777777"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 w14:paraId="62A4EE6C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7D321F89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F0CCD9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5EEF60E5" w14:textId="77777777" w:rsidR="000B358A" w:rsidRPr="00CB3590" w:rsidRDefault="0093380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206516A6" w14:textId="77777777" w:rsidR="000B358A" w:rsidRPr="00CB3590" w:rsidRDefault="0093380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228F88" w14:textId="77777777" w:rsidR="000B358A" w:rsidRPr="00CB3590" w:rsidRDefault="0093380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5E93B36" w14:textId="77777777" w:rsidR="000B358A" w:rsidRPr="00CB3590" w:rsidRDefault="0093380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F91422F" w14:textId="77777777" w:rsidR="000B358A" w:rsidRPr="00CB3590" w:rsidRDefault="00933803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 w14:paraId="3F6E4DC1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6C5B8DE8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F5FF3F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6F1F4024" w14:textId="77777777"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14:paraId="1CEC971F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14:paraId="3B6E456C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14:paraId="106A0CD0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14:paraId="4F7A537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14:paraId="22E0D62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срока;</w:t>
            </w:r>
          </w:p>
          <w:p w14:paraId="2684221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14:paraId="361C54E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14:paraId="77F1CA2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14:paraId="11E528C4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F599E94" w14:textId="6F854251"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оля своевременно открытых лицевых счетов для учета операции по исполнению местного бюджета и проведения кассовых операций со средствами на лицевых счетах неучастников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C25502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Арамильскому городскому округу о возмещении вреда, причиненного гражданину или юридическому лицу в результате незаконных действий (бездействия) органов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</w:p>
          <w:p w14:paraId="4E80F7CE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14:paraId="44AF7B8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14:paraId="1B2357F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14:paraId="35F1873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14:paraId="0DDD8B4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14:paraId="0734AFA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14:paraId="0B44895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объема выплат по муниципальным гарантиям к общему объему предоставленных Арамильским городским округом муниципальных гарантий;</w:t>
            </w:r>
          </w:p>
          <w:p w14:paraId="5F55B45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краткосрочных обязательств в общем объеме муниципального долга Арамильского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округа;</w:t>
            </w:r>
          </w:p>
          <w:p w14:paraId="75F4FA8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14:paraId="523BBCF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14:paraId="58CE661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14:paraId="012E757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14:paraId="6E5C2CA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14:paraId="612A73F0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14:paraId="34AE9F1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своевременно санкционированных документов получателей средств местного бюджета и неучастников бюджетного процесса;</w:t>
            </w:r>
          </w:p>
          <w:p w14:paraId="2A194A0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14:paraId="273AF71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14:paraId="1C261ECD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14:paraId="7D785218" w14:textId="77777777"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14:paraId="0BF268B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14:paraId="6DA71F72" w14:textId="77777777"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 w14:paraId="09D7DC32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05A9A9FA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8EA8C86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391DCD11" w14:textId="2A937085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6205D">
              <w:rPr>
                <w:rFonts w:ascii="Liberation Serif" w:hAnsi="Liberation Serif" w:cs="Liberation Serif"/>
                <w:sz w:val="28"/>
                <w:szCs w:val="28"/>
              </w:rPr>
              <w:t>201 967,9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4750DD97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451D096" w14:textId="4AF4C046"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>52 223,2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51BBBF17" w14:textId="0A6FD0E2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6205D">
              <w:rPr>
                <w:rFonts w:ascii="Liberation Serif" w:hAnsi="Liberation Serif" w:cs="Liberation Serif"/>
                <w:sz w:val="28"/>
                <w:szCs w:val="28"/>
              </w:rPr>
              <w:t>48 882,0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A9EC2D4" w14:textId="274E003D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7A500F4" w14:textId="54F4E068"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0022647D" w14:textId="77777777"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9B09C6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5283D" w:rsidRPr="009B09C6">
              <w:rPr>
                <w:rFonts w:ascii="Liberation Serif" w:hAnsi="Liberation Serif" w:cs="Liberation Serif"/>
                <w:sz w:val="28"/>
                <w:szCs w:val="28"/>
              </w:rPr>
              <w:t>29 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14:paraId="4275CCB4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3C3ADF32" w14:textId="626AD186"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6205D">
              <w:rPr>
                <w:rFonts w:ascii="Liberation Serif" w:hAnsi="Liberation Serif" w:cs="Liberation Serif"/>
                <w:sz w:val="28"/>
                <w:szCs w:val="28"/>
              </w:rPr>
              <w:t>201 277,7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3991662B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1A0953C5" w14:textId="7B90E0F7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 xml:space="preserve">51 533,0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2DF5F5D" w14:textId="544EE579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C6205D">
              <w:rPr>
                <w:rFonts w:ascii="Liberation Serif" w:hAnsi="Liberation Serif" w:cs="Liberation Serif"/>
                <w:sz w:val="28"/>
                <w:szCs w:val="28"/>
              </w:rPr>
              <w:t>48 882,0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E5A78D4" w14:textId="2371B46F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FDA5B91" w14:textId="0BFA142D"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- 36 208,3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DA5FD43" w14:textId="77777777" w:rsidR="00820EE1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  <w:p w14:paraId="00027354" w14:textId="7361CB43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640,0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790F04ED" w14:textId="77777777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503CE6C4" w14:textId="251A56DE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210CD1">
              <w:rPr>
                <w:rFonts w:ascii="Liberation Serif" w:hAnsi="Liberation Serif" w:cs="Liberation Serif"/>
                <w:sz w:val="28"/>
                <w:szCs w:val="28"/>
              </w:rPr>
              <w:t>640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B6DDFC5" w14:textId="16E26E58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512E57FD" w14:textId="4AC0182B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9F2736D" w14:textId="69D1C971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2E0A82F" w14:textId="77777777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2028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FA0EE0A" w14:textId="53BB066B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50,2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1BD8BCBE" w14:textId="77777777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64CD86F5" w14:textId="48457B20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50,2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BBF5F36" w14:textId="23B65485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7B47E46" w14:textId="376AB77F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25D0D3C" w14:textId="5A579D4B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6F7C1F0" w14:textId="2113675A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 w14:paraId="4D3A3997" w14:textId="77777777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92732FF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DC2965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C2CC97B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14:paraId="4DC041C0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9B09C6">
      <w:headerReference w:type="default" r:id="rId8"/>
      <w:headerReference w:type="first" r:id="rId9"/>
      <w:pgSz w:w="11905" w:h="16838"/>
      <w:pgMar w:top="567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6C176" w14:textId="77777777" w:rsidR="00933803" w:rsidRDefault="00933803" w:rsidP="008063AD">
      <w:pPr>
        <w:spacing w:after="0" w:line="240" w:lineRule="auto"/>
      </w:pPr>
      <w:r>
        <w:separator/>
      </w:r>
    </w:p>
  </w:endnote>
  <w:endnote w:type="continuationSeparator" w:id="0">
    <w:p w14:paraId="58BA3972" w14:textId="77777777" w:rsidR="00933803" w:rsidRDefault="00933803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FD268" w14:textId="77777777" w:rsidR="00933803" w:rsidRDefault="00933803" w:rsidP="008063AD">
      <w:pPr>
        <w:spacing w:after="0" w:line="240" w:lineRule="auto"/>
      </w:pPr>
      <w:r>
        <w:separator/>
      </w:r>
    </w:p>
  </w:footnote>
  <w:footnote w:type="continuationSeparator" w:id="0">
    <w:p w14:paraId="169BDFD1" w14:textId="77777777" w:rsidR="00933803" w:rsidRDefault="00933803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680282"/>
      <w:docPartObj>
        <w:docPartGallery w:val="Page Numbers (Top of Page)"/>
        <w:docPartUnique/>
      </w:docPartObj>
    </w:sdtPr>
    <w:sdtEndPr/>
    <w:sdtContent>
      <w:p w14:paraId="7758CD29" w14:textId="77777777" w:rsidR="008063AD" w:rsidRDefault="008063AD">
        <w:pPr>
          <w:pStyle w:val="a8"/>
          <w:jc w:val="center"/>
        </w:pPr>
      </w:p>
      <w:p w14:paraId="24C39B54" w14:textId="77777777"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14:paraId="7F2A9BAF" w14:textId="77777777" w:rsidR="008063AD" w:rsidRDefault="008063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1685" w14:textId="77777777" w:rsidR="008063AD" w:rsidRDefault="008063AD">
    <w:pPr>
      <w:pStyle w:val="a8"/>
      <w:jc w:val="center"/>
    </w:pPr>
  </w:p>
  <w:p w14:paraId="11A3AF9B" w14:textId="77777777"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58A"/>
    <w:rsid w:val="00003588"/>
    <w:rsid w:val="00055EF4"/>
    <w:rsid w:val="0008188B"/>
    <w:rsid w:val="0008567D"/>
    <w:rsid w:val="000B1095"/>
    <w:rsid w:val="000B358A"/>
    <w:rsid w:val="000D0A2C"/>
    <w:rsid w:val="000F0368"/>
    <w:rsid w:val="001854B3"/>
    <w:rsid w:val="001A5AA9"/>
    <w:rsid w:val="00201048"/>
    <w:rsid w:val="00204C80"/>
    <w:rsid w:val="00210CD1"/>
    <w:rsid w:val="00234D4B"/>
    <w:rsid w:val="00264BA8"/>
    <w:rsid w:val="002670E3"/>
    <w:rsid w:val="002B7273"/>
    <w:rsid w:val="002C440E"/>
    <w:rsid w:val="002D0B46"/>
    <w:rsid w:val="002D3175"/>
    <w:rsid w:val="002E5E7A"/>
    <w:rsid w:val="002F1B1A"/>
    <w:rsid w:val="002F228F"/>
    <w:rsid w:val="003A1322"/>
    <w:rsid w:val="003E40A5"/>
    <w:rsid w:val="0042148B"/>
    <w:rsid w:val="00430DD0"/>
    <w:rsid w:val="00452148"/>
    <w:rsid w:val="004E3D9E"/>
    <w:rsid w:val="005310B6"/>
    <w:rsid w:val="005C52A6"/>
    <w:rsid w:val="005F249D"/>
    <w:rsid w:val="00624E4B"/>
    <w:rsid w:val="006359CB"/>
    <w:rsid w:val="0066592B"/>
    <w:rsid w:val="006B0C1C"/>
    <w:rsid w:val="006B4609"/>
    <w:rsid w:val="006F1389"/>
    <w:rsid w:val="00782EB8"/>
    <w:rsid w:val="0079024D"/>
    <w:rsid w:val="007976EF"/>
    <w:rsid w:val="007A473B"/>
    <w:rsid w:val="007C7EE7"/>
    <w:rsid w:val="008063AD"/>
    <w:rsid w:val="00820EE1"/>
    <w:rsid w:val="00874FCE"/>
    <w:rsid w:val="008E1965"/>
    <w:rsid w:val="008F6650"/>
    <w:rsid w:val="00933803"/>
    <w:rsid w:val="009915C3"/>
    <w:rsid w:val="009B09C6"/>
    <w:rsid w:val="009D6FF0"/>
    <w:rsid w:val="009E52BF"/>
    <w:rsid w:val="009F45BF"/>
    <w:rsid w:val="00A5283D"/>
    <w:rsid w:val="00AC46E7"/>
    <w:rsid w:val="00AF2D24"/>
    <w:rsid w:val="00B6686D"/>
    <w:rsid w:val="00BC0229"/>
    <w:rsid w:val="00BC0A0D"/>
    <w:rsid w:val="00BD3B34"/>
    <w:rsid w:val="00BF424E"/>
    <w:rsid w:val="00BF68D2"/>
    <w:rsid w:val="00C6205D"/>
    <w:rsid w:val="00CB3590"/>
    <w:rsid w:val="00CD293E"/>
    <w:rsid w:val="00CD5616"/>
    <w:rsid w:val="00D0124B"/>
    <w:rsid w:val="00DA66BA"/>
    <w:rsid w:val="00DF58B0"/>
    <w:rsid w:val="00E37B9F"/>
    <w:rsid w:val="00E43427"/>
    <w:rsid w:val="00E45667"/>
    <w:rsid w:val="00E92F75"/>
    <w:rsid w:val="00EA7E05"/>
    <w:rsid w:val="00EB3279"/>
    <w:rsid w:val="00F03D31"/>
    <w:rsid w:val="00F865BA"/>
    <w:rsid w:val="00FB1E77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F349"/>
  <w15:docId w15:val="{FC7EC687-783F-4F5C-A62E-53E8D31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65</cp:revision>
  <cp:lastPrinted>2023-08-15T06:42:00Z</cp:lastPrinted>
  <dcterms:created xsi:type="dcterms:W3CDTF">2023-07-29T08:57:00Z</dcterms:created>
  <dcterms:modified xsi:type="dcterms:W3CDTF">2025-05-19T08:23:00Z</dcterms:modified>
</cp:coreProperties>
</file>